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81A1" w14:textId="77777777" w:rsidR="00B67E86" w:rsidRDefault="0081118D" w:rsidP="00926C4C">
      <w:pPr>
        <w:spacing w:after="0" w:line="259" w:lineRule="auto"/>
        <w:ind w:left="142" w:firstLine="0"/>
        <w:jc w:val="right"/>
      </w:pPr>
      <w:bookmarkStart w:id="0" w:name="_GoBack"/>
      <w:bookmarkEnd w:id="0"/>
      <w:r>
        <w:t>Mars 2022</w:t>
      </w:r>
    </w:p>
    <w:p w14:paraId="707BF8F8" w14:textId="77777777" w:rsidR="00B67E86" w:rsidRDefault="004A2AB6" w:rsidP="00926C4C">
      <w:pPr>
        <w:spacing w:after="128" w:line="259" w:lineRule="auto"/>
        <w:ind w:left="142" w:right="0" w:firstLine="0"/>
        <w:jc w:val="right"/>
      </w:pPr>
      <w:r>
        <w:t xml:space="preserve"> </w:t>
      </w:r>
    </w:p>
    <w:p w14:paraId="5F0B291E" w14:textId="77777777" w:rsidR="00B67E86" w:rsidRDefault="004A2AB6" w:rsidP="00926C4C">
      <w:pPr>
        <w:spacing w:after="0" w:line="259" w:lineRule="auto"/>
        <w:ind w:left="142" w:right="51" w:firstLine="0"/>
        <w:jc w:val="center"/>
      </w:pPr>
      <w:r>
        <w:rPr>
          <w:color w:val="404040"/>
          <w:sz w:val="40"/>
        </w:rPr>
        <w:t xml:space="preserve">Offre de </w:t>
      </w:r>
      <w:r w:rsidR="007C0C9C">
        <w:rPr>
          <w:color w:val="404040"/>
          <w:sz w:val="40"/>
        </w:rPr>
        <w:t>Post-Doctorat</w:t>
      </w:r>
      <w:r>
        <w:rPr>
          <w:color w:val="404040"/>
          <w:sz w:val="40"/>
        </w:rPr>
        <w:t xml:space="preserve"> </w:t>
      </w:r>
    </w:p>
    <w:p w14:paraId="4A355ACF" w14:textId="77777777" w:rsidR="00B67E86" w:rsidRDefault="004A2AB6" w:rsidP="00926C4C">
      <w:pPr>
        <w:spacing w:after="0" w:line="259" w:lineRule="auto"/>
        <w:ind w:left="142" w:right="51" w:firstLine="0"/>
        <w:jc w:val="center"/>
      </w:pPr>
      <w:r>
        <w:rPr>
          <w:color w:val="404040"/>
          <w:sz w:val="28"/>
        </w:rPr>
        <w:t xml:space="preserve">Début : </w:t>
      </w:r>
      <w:r w:rsidR="0011101A">
        <w:rPr>
          <w:color w:val="404040"/>
          <w:sz w:val="28"/>
        </w:rPr>
        <w:t>Avril</w:t>
      </w:r>
      <w:r>
        <w:rPr>
          <w:color w:val="404040"/>
          <w:sz w:val="28"/>
        </w:rPr>
        <w:t xml:space="preserve"> 2022 </w:t>
      </w:r>
    </w:p>
    <w:p w14:paraId="7BE99B26" w14:textId="77777777" w:rsidR="00B67E86" w:rsidRDefault="004A2AB6" w:rsidP="00926C4C">
      <w:pPr>
        <w:spacing w:after="112" w:line="259" w:lineRule="auto"/>
        <w:ind w:left="142" w:right="0" w:firstLine="0"/>
        <w:jc w:val="left"/>
      </w:pPr>
      <w:r>
        <w:rPr>
          <w:sz w:val="22"/>
        </w:rPr>
        <w:t xml:space="preserve"> </w:t>
      </w:r>
    </w:p>
    <w:p w14:paraId="4BF20CD8" w14:textId="77777777" w:rsidR="0011101A" w:rsidRDefault="0011101A" w:rsidP="00926C4C">
      <w:pPr>
        <w:autoSpaceDE w:val="0"/>
        <w:autoSpaceDN w:val="0"/>
        <w:adjustRightInd w:val="0"/>
        <w:ind w:left="142" w:firstLine="0"/>
        <w:jc w:val="center"/>
        <w:rPr>
          <w:color w:val="008F6C"/>
          <w:sz w:val="36"/>
        </w:rPr>
      </w:pPr>
      <w:r w:rsidRPr="0011101A">
        <w:rPr>
          <w:color w:val="008F6C"/>
          <w:sz w:val="36"/>
        </w:rPr>
        <w:t>C</w:t>
      </w:r>
      <w:r>
        <w:rPr>
          <w:color w:val="008F6C"/>
          <w:sz w:val="36"/>
        </w:rPr>
        <w:t>ontribution à la c</w:t>
      </w:r>
      <w:r w:rsidRPr="0011101A">
        <w:rPr>
          <w:color w:val="008F6C"/>
          <w:sz w:val="36"/>
        </w:rPr>
        <w:t>onception des échangeurs thermiques</w:t>
      </w:r>
      <w:r>
        <w:rPr>
          <w:color w:val="008F6C"/>
          <w:sz w:val="36"/>
        </w:rPr>
        <w:t> :</w:t>
      </w:r>
    </w:p>
    <w:p w14:paraId="1FE3A70B" w14:textId="77777777" w:rsidR="00B67E86" w:rsidRDefault="0011101A" w:rsidP="00A80653">
      <w:pPr>
        <w:autoSpaceDE w:val="0"/>
        <w:autoSpaceDN w:val="0"/>
        <w:adjustRightInd w:val="0"/>
        <w:ind w:left="142" w:firstLine="0"/>
        <w:jc w:val="center"/>
      </w:pPr>
      <w:r>
        <w:rPr>
          <w:color w:val="008F6C"/>
          <w:sz w:val="36"/>
        </w:rPr>
        <w:t>i</w:t>
      </w:r>
      <w:r w:rsidRPr="0011101A">
        <w:rPr>
          <w:color w:val="008F6C"/>
          <w:sz w:val="36"/>
        </w:rPr>
        <w:t>ntroduction et fixation d’un catalyseur à la surface interne d’un échangeur compact en aluminium</w:t>
      </w:r>
    </w:p>
    <w:p w14:paraId="7B8C0C09" w14:textId="77777777" w:rsidR="0011101A" w:rsidRPr="0011101A" w:rsidRDefault="0011101A" w:rsidP="00926C4C">
      <w:pPr>
        <w:ind w:left="142" w:firstLine="0"/>
      </w:pPr>
    </w:p>
    <w:p w14:paraId="46B6BA91" w14:textId="77777777" w:rsidR="00B67E86" w:rsidRDefault="004A2AB6" w:rsidP="00926C4C">
      <w:pPr>
        <w:spacing w:after="15" w:line="259" w:lineRule="auto"/>
        <w:ind w:left="142" w:right="0" w:firstLine="0"/>
        <w:jc w:val="right"/>
      </w:pPr>
      <w:r>
        <w:t xml:space="preserve"> </w:t>
      </w:r>
      <w:r w:rsidR="00A80653">
        <w:rPr>
          <w:noProof/>
        </w:rPr>
        <w:drawing>
          <wp:inline distT="0" distB="0" distL="0" distR="0" wp14:anchorId="394F11DD" wp14:editId="296D28F2">
            <wp:extent cx="2071687" cy="685311"/>
            <wp:effectExtent l="0" t="0" r="508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634" cy="711427"/>
                    </a:xfrm>
                    <a:prstGeom prst="rect">
                      <a:avLst/>
                    </a:prstGeom>
                    <a:noFill/>
                    <a:ln>
                      <a:noFill/>
                    </a:ln>
                  </pic:spPr>
                </pic:pic>
              </a:graphicData>
            </a:graphic>
          </wp:inline>
        </w:drawing>
      </w:r>
    </w:p>
    <w:p w14:paraId="6B202BE8" w14:textId="77777777" w:rsidR="00B67E86" w:rsidRDefault="004A2AB6" w:rsidP="00926C4C">
      <w:pPr>
        <w:pStyle w:val="Titre2"/>
        <w:ind w:left="142" w:firstLine="0"/>
      </w:pPr>
      <w:r>
        <w:t xml:space="preserve">Informations générales </w:t>
      </w:r>
      <w:r w:rsidR="0011101A">
        <w:tab/>
      </w:r>
      <w:r w:rsidR="0011101A">
        <w:tab/>
      </w:r>
      <w:r w:rsidR="0011101A">
        <w:tab/>
      </w:r>
      <w:r w:rsidR="0011101A">
        <w:tab/>
      </w:r>
      <w:r w:rsidR="0011101A">
        <w:tab/>
      </w:r>
      <w:r w:rsidR="0011101A">
        <w:tab/>
      </w:r>
      <w:r w:rsidR="0011101A">
        <w:tab/>
      </w:r>
    </w:p>
    <w:p w14:paraId="4C415E50" w14:textId="77777777" w:rsidR="00B67E86" w:rsidRDefault="004A2AB6" w:rsidP="00926C4C">
      <w:pPr>
        <w:ind w:left="142" w:right="58" w:firstLine="0"/>
      </w:pPr>
      <w:r>
        <w:t xml:space="preserve">Lieu de travail : Nancy </w:t>
      </w:r>
    </w:p>
    <w:p w14:paraId="02CC06CC" w14:textId="77777777" w:rsidR="00B67E86" w:rsidRDefault="004A2AB6" w:rsidP="00926C4C">
      <w:pPr>
        <w:ind w:left="142" w:right="58" w:firstLine="0"/>
      </w:pPr>
      <w:r>
        <w:t xml:space="preserve">Type de contrat : Contrat </w:t>
      </w:r>
      <w:r w:rsidR="002C6ADE">
        <w:t>Post-</w:t>
      </w:r>
      <w:r>
        <w:t>doctoral</w:t>
      </w:r>
      <w:r>
        <w:rPr>
          <w:sz w:val="22"/>
        </w:rPr>
        <w:t xml:space="preserve"> </w:t>
      </w:r>
      <w:r>
        <w:t xml:space="preserve"> </w:t>
      </w:r>
    </w:p>
    <w:p w14:paraId="682D6A84" w14:textId="77777777" w:rsidR="00B67E86" w:rsidRDefault="004A2AB6" w:rsidP="00926C4C">
      <w:pPr>
        <w:ind w:left="142" w:right="58" w:firstLine="0"/>
      </w:pPr>
      <w:r>
        <w:t xml:space="preserve">Durée du contrat : </w:t>
      </w:r>
      <w:r w:rsidR="0011101A">
        <w:t>9</w:t>
      </w:r>
      <w:r>
        <w:t xml:space="preserve"> mois </w:t>
      </w:r>
    </w:p>
    <w:p w14:paraId="315C42D1" w14:textId="77777777" w:rsidR="00B67E86" w:rsidRDefault="004A2AB6" w:rsidP="00926C4C">
      <w:pPr>
        <w:ind w:left="142" w:right="58" w:firstLine="0"/>
      </w:pPr>
      <w:r>
        <w:t xml:space="preserve">Date d'embauche prévue : </w:t>
      </w:r>
      <w:r w:rsidR="0011101A">
        <w:t>Avril</w:t>
      </w:r>
      <w:r>
        <w:t xml:space="preserve"> 2022 </w:t>
      </w:r>
    </w:p>
    <w:p w14:paraId="3B7C15E1" w14:textId="77777777" w:rsidR="00B67E86" w:rsidRDefault="004A2AB6" w:rsidP="00926C4C">
      <w:pPr>
        <w:ind w:left="142" w:right="58" w:firstLine="0"/>
      </w:pPr>
      <w:r>
        <w:t xml:space="preserve">Quotité de travail : Temps complet </w:t>
      </w:r>
    </w:p>
    <w:p w14:paraId="611C36F1" w14:textId="77777777" w:rsidR="00B67E86" w:rsidRDefault="004A2AB6" w:rsidP="00926C4C">
      <w:pPr>
        <w:ind w:left="142" w:right="58" w:firstLine="0"/>
      </w:pPr>
      <w:r>
        <w:t xml:space="preserve">Niveau d'études souhaité : </w:t>
      </w:r>
      <w:r w:rsidR="002C6ADE">
        <w:t xml:space="preserve">Doctorat </w:t>
      </w:r>
      <w:r>
        <w:t xml:space="preserve">en science des matériaux ou équivalent  </w:t>
      </w:r>
    </w:p>
    <w:p w14:paraId="1274AD72" w14:textId="77777777" w:rsidR="00B67E86" w:rsidRDefault="004A2AB6" w:rsidP="00926C4C">
      <w:pPr>
        <w:spacing w:after="21" w:line="259" w:lineRule="auto"/>
        <w:ind w:left="142" w:right="0" w:firstLine="0"/>
        <w:jc w:val="left"/>
      </w:pPr>
      <w:r>
        <w:rPr>
          <w:rFonts w:ascii="Arial" w:eastAsia="Arial" w:hAnsi="Arial" w:cs="Arial"/>
        </w:rPr>
        <w:t xml:space="preserve"> </w:t>
      </w:r>
    </w:p>
    <w:p w14:paraId="212EA57D" w14:textId="77777777" w:rsidR="00B67E86" w:rsidRDefault="004A2AB6" w:rsidP="00926C4C">
      <w:pPr>
        <w:pStyle w:val="Titre2"/>
        <w:ind w:left="142" w:firstLine="0"/>
      </w:pPr>
      <w:r>
        <w:t>Contexte/Objectifs</w:t>
      </w:r>
      <w:r>
        <w:rPr>
          <w:color w:val="000000"/>
        </w:rPr>
        <w:t xml:space="preserve"> </w:t>
      </w:r>
    </w:p>
    <w:p w14:paraId="158F734C" w14:textId="77777777" w:rsidR="00470046" w:rsidRDefault="004A2AB6" w:rsidP="00926C4C">
      <w:pPr>
        <w:spacing w:after="112"/>
        <w:ind w:left="142" w:right="338" w:firstLine="0"/>
      </w:pPr>
      <w:r>
        <w:t xml:space="preserve">Le sujet proposé fait partie intégrante du projet </w:t>
      </w:r>
      <w:r w:rsidR="00470046">
        <w:t xml:space="preserve">HYCRYO porté par la société </w:t>
      </w:r>
      <w:r w:rsidR="00470046" w:rsidRPr="0011101A">
        <w:t xml:space="preserve">Fives Cryo </w:t>
      </w:r>
      <w:r w:rsidR="00470046">
        <w:t xml:space="preserve">et </w:t>
      </w:r>
      <w:r>
        <w:t xml:space="preserve">financé par </w:t>
      </w:r>
      <w:r w:rsidR="00470046">
        <w:t>la Région Grand Est. L</w:t>
      </w:r>
      <w:r>
        <w:t xml:space="preserve">’objectif principal est </w:t>
      </w:r>
      <w:r w:rsidR="00470046" w:rsidRPr="0011101A">
        <w:t>de</w:t>
      </w:r>
      <w:r w:rsidR="00470046">
        <w:t xml:space="preserve"> développer de</w:t>
      </w:r>
      <w:r w:rsidR="00470046" w:rsidRPr="0011101A">
        <w:t xml:space="preserve">s échangeurs de chaleur à destination de la liquéfaction </w:t>
      </w:r>
      <w:r w:rsidR="00470046">
        <w:t>d’hydrogène a</w:t>
      </w:r>
      <w:r w:rsidR="00470046" w:rsidRPr="0011101A">
        <w:t xml:space="preserve">insi que des pompes cryogéniques pour </w:t>
      </w:r>
      <w:r w:rsidR="00470046">
        <w:t>s</w:t>
      </w:r>
      <w:r w:rsidR="00470046" w:rsidRPr="0011101A">
        <w:t>a distribution</w:t>
      </w:r>
      <w:r w:rsidR="00470046">
        <w:t>.</w:t>
      </w: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11101A" w:rsidRPr="0011101A" w14:paraId="27CB8ECA" w14:textId="77777777" w:rsidTr="00926C4C">
        <w:trPr>
          <w:trHeight w:val="916"/>
        </w:trPr>
        <w:tc>
          <w:tcPr>
            <w:tcW w:w="10173" w:type="dxa"/>
          </w:tcPr>
          <w:p w14:paraId="3B46D7A4" w14:textId="77777777" w:rsidR="0011101A" w:rsidRPr="0011101A" w:rsidRDefault="0011101A" w:rsidP="004E253F">
            <w:pPr>
              <w:spacing w:after="112"/>
              <w:ind w:left="142" w:right="58" w:firstLine="0"/>
            </w:pPr>
            <w:r w:rsidRPr="0011101A">
              <w:t>Fives Cryo est un groupe d'ingénierie industrielle international implanté dans près de 30 pays et actif dans un grand nombre de secteurs parmi lesquels l'aéronautique, l'automobile, le ciment, l'acier, le verre, l'aluminium et la logistique. Aujourd’hui, Fives Cryo fabrique et livre des échangeurs de chaleur à destination de la liquéfaction d</w:t>
            </w:r>
            <w:r w:rsidR="004E253F">
              <w:t>’</w:t>
            </w:r>
            <w:r w:rsidRPr="0011101A">
              <w:t>air et d</w:t>
            </w:r>
            <w:r w:rsidR="004E253F">
              <w:t>e</w:t>
            </w:r>
            <w:r w:rsidRPr="0011101A">
              <w:t xml:space="preserve"> gaz naturel ainsi que des pompes cryogéniques pour la distribution de</w:t>
            </w:r>
            <w:r w:rsidR="004E253F">
              <w:t xml:space="preserve"> ces produits.</w:t>
            </w:r>
            <w:r w:rsidRPr="0011101A">
              <w:t xml:space="preserve"> </w:t>
            </w:r>
          </w:p>
        </w:tc>
      </w:tr>
      <w:tr w:rsidR="0011101A" w:rsidRPr="0011101A" w14:paraId="17778E93" w14:textId="77777777" w:rsidTr="00926C4C">
        <w:trPr>
          <w:trHeight w:val="916"/>
        </w:trPr>
        <w:tc>
          <w:tcPr>
            <w:tcW w:w="10173" w:type="dxa"/>
            <w:tcBorders>
              <w:left w:val="nil"/>
              <w:right w:val="nil"/>
            </w:tcBorders>
          </w:tcPr>
          <w:p w14:paraId="4731978D" w14:textId="77777777" w:rsidR="0011101A" w:rsidRPr="00470046" w:rsidRDefault="0011101A" w:rsidP="00926C4C">
            <w:pPr>
              <w:spacing w:after="112"/>
              <w:ind w:left="142" w:right="58" w:firstLine="0"/>
              <w:rPr>
                <w:b/>
              </w:rPr>
            </w:pPr>
            <w:r w:rsidRPr="00470046">
              <w:rPr>
                <w:b/>
              </w:rPr>
              <w:t xml:space="preserve">Fives Cryo voudrait étendre sa gamme et proposer </w:t>
            </w:r>
            <w:r w:rsidR="00470046">
              <w:rPr>
                <w:b/>
              </w:rPr>
              <w:t>s</w:t>
            </w:r>
            <w:r w:rsidRPr="00470046">
              <w:rPr>
                <w:b/>
              </w:rPr>
              <w:t xml:space="preserve">es équipements pour l’hydrogène et ainsi participer au déploiement de ce vecteur énergétique. </w:t>
            </w:r>
          </w:p>
          <w:p w14:paraId="548FD097" w14:textId="77777777" w:rsidR="0011101A" w:rsidRPr="0011101A" w:rsidRDefault="0011101A" w:rsidP="00926C4C">
            <w:pPr>
              <w:spacing w:after="112"/>
              <w:ind w:left="142" w:right="58" w:firstLine="0"/>
            </w:pPr>
            <w:r w:rsidRPr="0011101A">
              <w:t>Des études menées conjointement par Fives Cryo et Air Liquide démontrent que le développement d’une solution de stockage liquide est nécessaire pour faire face aux problématiques de stockage de l’hydrogène sous haute pression (</w:t>
            </w:r>
            <w:r w:rsidRPr="00D2467B">
              <w:rPr>
                <w:i/>
              </w:rPr>
              <w:t xml:space="preserve">dû à la différence de densité de l’hydrogène gazeux par rapport à </w:t>
            </w:r>
            <w:r w:rsidRPr="00D2467B">
              <w:rPr>
                <w:i/>
              </w:rPr>
              <w:lastRenderedPageBreak/>
              <w:t>l’hydrogène liquide</w:t>
            </w:r>
            <w:r w:rsidRPr="0011101A">
              <w:t>). Sous sa forme liquide, il est possible de transporter plus d’hydrogène, sa densité étant bien plus importante (</w:t>
            </w:r>
            <w:r w:rsidRPr="00D2467B">
              <w:rPr>
                <w:i/>
              </w:rPr>
              <w:t>entre 5 et 8 fois plus importante suivant la pression du gaz appliquée</w:t>
            </w:r>
            <w:r w:rsidRPr="0011101A">
              <w:t>). Par ailleurs son stockage sous forme liquide est aussi plus économique. En conclusion, le déploiement de l’hydrogène dans le cadre de la transition énergétique opérée actuellement par les sociétés industrialisées suppose l’emploi d’infrastructures permettant de stabiliser l’hydrogène à l’état liquide lors des diverses opérations de stockage et de transfert.</w:t>
            </w:r>
          </w:p>
          <w:tbl>
            <w:tblPr>
              <w:tblW w:w="10206" w:type="dxa"/>
              <w:tblBorders>
                <w:top w:val="nil"/>
                <w:left w:val="nil"/>
                <w:bottom w:val="nil"/>
                <w:right w:val="nil"/>
              </w:tblBorders>
              <w:tblLayout w:type="fixed"/>
              <w:tblLook w:val="0000" w:firstRow="0" w:lastRow="0" w:firstColumn="0" w:lastColumn="0" w:noHBand="0" w:noVBand="0"/>
            </w:tblPr>
            <w:tblGrid>
              <w:gridCol w:w="10206"/>
            </w:tblGrid>
            <w:tr w:rsidR="0011101A" w:rsidRPr="00CC145D" w14:paraId="6F0517E5" w14:textId="77777777" w:rsidTr="00470046">
              <w:trPr>
                <w:trHeight w:val="244"/>
              </w:trPr>
              <w:tc>
                <w:tcPr>
                  <w:tcW w:w="10206" w:type="dxa"/>
                </w:tcPr>
                <w:p w14:paraId="1AA60B1D" w14:textId="4E1260CA" w:rsidR="00B90FC3" w:rsidRPr="0011101A" w:rsidRDefault="0011101A" w:rsidP="00C72A31">
                  <w:pPr>
                    <w:spacing w:after="112"/>
                    <w:ind w:right="58"/>
                  </w:pPr>
                  <w:r w:rsidRPr="0011101A">
                    <w:t>Dans le cadre du projet HYCRYO (</w:t>
                  </w:r>
                  <w:r w:rsidRPr="00D2467B">
                    <w:rPr>
                      <w:i/>
                    </w:rPr>
                    <w:t>équipements pour liquéfaction d’hydrogène et distribution d’hydrogène liquide</w:t>
                  </w:r>
                  <w:r w:rsidRPr="0011101A">
                    <w:t>), il est convenu d</w:t>
                  </w:r>
                  <w:r w:rsidR="00926C4C">
                    <w:t>’optimiser l</w:t>
                  </w:r>
                  <w:r w:rsidRPr="0011101A">
                    <w:t>es performances des échangeurs thermiques en s’intéressant dans le cadre de la Tâche 3 aux fonctions catalytiques des oxydes de fer qui stabilisent l’état du spin nucléaire</w:t>
                  </w:r>
                  <w:r w:rsidR="00926C4C">
                    <w:t xml:space="preserve"> </w:t>
                  </w:r>
                  <w:r w:rsidR="00926C4C" w:rsidRPr="0011101A">
                    <w:t xml:space="preserve">« ortho » </w:t>
                  </w:r>
                  <w:r w:rsidRPr="0011101A">
                    <w:t xml:space="preserve">de l’atome d’hydrogène. En effet, le dihydrogène peut adopter deux </w:t>
                  </w:r>
                  <w:r w:rsidR="00D2467B">
                    <w:t xml:space="preserve">états </w:t>
                  </w:r>
                  <w:r w:rsidRPr="0011101A">
                    <w:t>de spin nucléaire</w:t>
                  </w:r>
                  <w:r w:rsidR="00D2467B">
                    <w:t xml:space="preserve"> différents</w:t>
                  </w:r>
                  <w:r w:rsidRPr="0011101A">
                    <w:t>, respectivement ortho et para</w:t>
                  </w:r>
                  <w:r w:rsidRPr="00926C4C">
                    <w:rPr>
                      <w:vertAlign w:val="superscript"/>
                    </w:rPr>
                    <w:footnoteReference w:id="1"/>
                  </w:r>
                  <w:r w:rsidRPr="0011101A">
                    <w:t>, qui doivent être maîtris</w:t>
                  </w:r>
                  <w:r w:rsidR="00926C4C">
                    <w:t>és</w:t>
                  </w:r>
                  <w:r w:rsidRPr="0011101A">
                    <w:t xml:space="preserve"> lors de la liquéfaction. A température ambiante</w:t>
                  </w:r>
                  <w:r w:rsidR="00926C4C">
                    <w:t>,</w:t>
                  </w:r>
                  <w:r w:rsidRPr="0011101A">
                    <w:t xml:space="preserve"> l’hydrogène comprend 75 % d’ortho-hydrogène et 25 % de para-hydrogène, proportion qui dépend de la température. Sous forme liquide, l’hydrogène devient quasi-exclusivement (99,8 %) du para-hydrogène</w:t>
                  </w:r>
                  <w:r w:rsidRPr="00926C4C">
                    <w:rPr>
                      <w:vertAlign w:val="superscript"/>
                    </w:rPr>
                    <w:footnoteReference w:id="2"/>
                  </w:r>
                  <w:r w:rsidRPr="0011101A">
                    <w:t xml:space="preserve">. Le passage d’une orientation à l’autre est réversible et, lors de sa liquéfaction, l’ortho-hydrogène se conserve mais le liquide obtenu se transforme ensuite en para-hydrogène avec, pour conséquence, un dégagement de chaleur qui produit une évaporation importante. Pour </w:t>
                  </w:r>
                  <w:r w:rsidR="00755506">
                    <w:t>contourner cet écueil</w:t>
                  </w:r>
                  <w:r w:rsidRPr="0011101A">
                    <w:t>, la conversion ortho/para-hydrogène est effectuée durant la liquéfaction</w:t>
                  </w:r>
                  <w:r w:rsidR="00926C4C">
                    <w:t xml:space="preserve"> grâce à un catalyseur approprié</w:t>
                  </w:r>
                  <w:r w:rsidRPr="00926C4C">
                    <w:rPr>
                      <w:vertAlign w:val="superscript"/>
                    </w:rPr>
                    <w:footnoteReference w:id="3"/>
                  </w:r>
                  <w:r w:rsidR="00926C4C">
                    <w:t>.</w:t>
                  </w:r>
                  <w:r w:rsidRPr="0011101A">
                    <w:t xml:space="preserve"> </w:t>
                  </w:r>
                  <w:r w:rsidR="00755506">
                    <w:t xml:space="preserve">Par conséquent, </w:t>
                  </w:r>
                  <w:r w:rsidRPr="0011101A">
                    <w:t xml:space="preserve">les échangeurs doivent être fonctionnalisés par l’introduction de catalyseurs à base d’oxydes de fer. Ce travail </w:t>
                  </w:r>
                  <w:r w:rsidR="00755506">
                    <w:t xml:space="preserve">est envisagé dans le cadre de Hycryo et </w:t>
                  </w:r>
                  <w:r w:rsidRPr="0011101A">
                    <w:t>sera réalisé dans le cadre d’un contrat post-doctoral de 9 mois</w:t>
                  </w:r>
                  <w:r w:rsidR="00755506">
                    <w:t>.</w:t>
                  </w:r>
                </w:p>
              </w:tc>
            </w:tr>
          </w:tbl>
          <w:p w14:paraId="3172AD85" w14:textId="77777777" w:rsidR="0011101A" w:rsidRPr="0011101A" w:rsidRDefault="0011101A" w:rsidP="00926C4C">
            <w:pPr>
              <w:spacing w:after="112"/>
              <w:ind w:left="142" w:right="58" w:firstLine="0"/>
            </w:pPr>
          </w:p>
        </w:tc>
      </w:tr>
    </w:tbl>
    <w:p w14:paraId="60A56D46" w14:textId="77777777" w:rsidR="00B67E86" w:rsidRDefault="004A2AB6" w:rsidP="00926C4C">
      <w:pPr>
        <w:pStyle w:val="Titre2"/>
        <w:ind w:left="142" w:firstLine="0"/>
      </w:pPr>
      <w:r>
        <w:lastRenderedPageBreak/>
        <w:t>Contexte de travail</w:t>
      </w:r>
      <w:r>
        <w:rPr>
          <w:color w:val="000000"/>
        </w:rPr>
        <w:t xml:space="preserve"> </w:t>
      </w:r>
    </w:p>
    <w:p w14:paraId="455E0865" w14:textId="77777777" w:rsidR="00926C4C" w:rsidRDefault="004A2AB6" w:rsidP="002644DA">
      <w:pPr>
        <w:ind w:left="142" w:right="338" w:firstLine="0"/>
      </w:pPr>
      <w:r>
        <w:t>L</w:t>
      </w:r>
      <w:r w:rsidR="0011391E">
        <w:t>e post-doctorat s</w:t>
      </w:r>
      <w:r>
        <w:t>e déroulera au sein de l’Institut Jean Lamour</w:t>
      </w:r>
      <w:r w:rsidR="00926C4C">
        <w:t xml:space="preserve"> et de la Halle des matériaux de l’EEIGM.</w:t>
      </w:r>
    </w:p>
    <w:p w14:paraId="4374EF18" w14:textId="77777777" w:rsidR="00B67E86" w:rsidRDefault="0021496A" w:rsidP="002644DA">
      <w:pPr>
        <w:ind w:left="142" w:right="338" w:firstLine="0"/>
      </w:pPr>
      <w:r>
        <w:t xml:space="preserve">Il est </w:t>
      </w:r>
      <w:r w:rsidR="004A2AB6">
        <w:t>intégralement financ</w:t>
      </w:r>
      <w:r w:rsidR="000B7514">
        <w:t>é</w:t>
      </w:r>
      <w:r w:rsidR="004A2AB6">
        <w:t xml:space="preserve"> par le contrat </w:t>
      </w:r>
      <w:r w:rsidR="00755506">
        <w:t xml:space="preserve">HYCRO </w:t>
      </w:r>
      <w:r w:rsidR="004A2AB6">
        <w:t xml:space="preserve">pour une durée de </w:t>
      </w:r>
      <w:r w:rsidR="00755506">
        <w:t>9</w:t>
      </w:r>
      <w:r w:rsidR="004A2AB6">
        <w:t xml:space="preserve"> mois. </w:t>
      </w:r>
    </w:p>
    <w:p w14:paraId="7F94B63C" w14:textId="7DE3287A" w:rsidR="002644DA" w:rsidRDefault="004A2AB6" w:rsidP="00C72A31">
      <w:pPr>
        <w:ind w:left="142" w:right="338" w:firstLine="0"/>
      </w:pPr>
      <w:r>
        <w:t xml:space="preserve">Des réunions et échanges réguliers entre les partenaires </w:t>
      </w:r>
      <w:r w:rsidR="0021496A">
        <w:t>auront lieu</w:t>
      </w:r>
      <w:r w:rsidR="00C55414">
        <w:t xml:space="preserve">, </w:t>
      </w:r>
      <w:r w:rsidR="00FF5FCB">
        <w:t xml:space="preserve">et </w:t>
      </w:r>
      <w:r w:rsidR="00C55414">
        <w:t>des productions scientifiques sont envisagées.</w:t>
      </w:r>
      <w:r>
        <w:t xml:space="preserve"> </w:t>
      </w:r>
    </w:p>
    <w:p w14:paraId="0E94CE5A" w14:textId="77777777" w:rsidR="00C72A31" w:rsidRDefault="00C72A31" w:rsidP="00C72A31">
      <w:pPr>
        <w:ind w:left="142" w:right="338" w:firstLine="0"/>
      </w:pPr>
    </w:p>
    <w:p w14:paraId="07201F00" w14:textId="77777777" w:rsidR="00784857" w:rsidRPr="00CC145D" w:rsidRDefault="00784857" w:rsidP="00A80653">
      <w:pPr>
        <w:autoSpaceDE w:val="0"/>
        <w:autoSpaceDN w:val="0"/>
        <w:adjustRightInd w:val="0"/>
        <w:ind w:firstLine="132"/>
        <w:rPr>
          <w:rFonts w:asciiTheme="minorHAnsi" w:hAnsiTheme="minorHAnsi" w:cstheme="minorHAnsi"/>
          <w:b/>
          <w:sz w:val="22"/>
        </w:rPr>
      </w:pPr>
      <w:r w:rsidRPr="00A80653">
        <w:rPr>
          <w:color w:val="EA5B0C"/>
          <w:sz w:val="28"/>
        </w:rPr>
        <w:t>Description et objectif</w:t>
      </w:r>
      <w:r w:rsidR="00A80653">
        <w:rPr>
          <w:color w:val="EA5B0C"/>
          <w:sz w:val="28"/>
        </w:rPr>
        <w:t>s</w:t>
      </w:r>
      <w:r w:rsidRPr="00A80653">
        <w:rPr>
          <w:color w:val="EA5B0C"/>
          <w:sz w:val="28"/>
        </w:rPr>
        <w:t xml:space="preserve"> de la tâche</w:t>
      </w:r>
    </w:p>
    <w:p w14:paraId="7651F892" w14:textId="77777777" w:rsidR="00784857" w:rsidRPr="00784857" w:rsidRDefault="00784857" w:rsidP="00A80653">
      <w:pPr>
        <w:ind w:left="142" w:right="58" w:firstLine="0"/>
      </w:pPr>
      <w:r w:rsidRPr="00784857">
        <w:t>Le Post-doctorant</w:t>
      </w:r>
      <w:r w:rsidR="00A80653">
        <w:t xml:space="preserve"> étudiera et développera </w:t>
      </w:r>
      <w:r w:rsidRPr="00784857">
        <w:t>une solution permettant de revêtir d’un catalyseur la structure interne d’un échangeur à plaques et ondes en aluminium brasé.</w:t>
      </w:r>
      <w:r w:rsidR="00A80653">
        <w:t xml:space="preserve"> </w:t>
      </w:r>
      <w:r w:rsidRPr="00784857">
        <w:t xml:space="preserve">Le choix de la solution devra tenir compte des conditions de fonctionnement de ces équipements : température de service de - 253°C sous une pression pouvant varier de 10 à 30 bars. </w:t>
      </w:r>
    </w:p>
    <w:p w14:paraId="41B9F45F" w14:textId="77777777" w:rsidR="00784857" w:rsidRPr="00784857" w:rsidRDefault="00784857" w:rsidP="002644DA">
      <w:pPr>
        <w:ind w:left="142" w:right="58" w:firstLine="0"/>
      </w:pPr>
    </w:p>
    <w:p w14:paraId="15E0B9C1" w14:textId="77777777" w:rsidR="00784857" w:rsidRPr="00784857" w:rsidRDefault="00784857" w:rsidP="002644DA">
      <w:pPr>
        <w:ind w:left="142" w:right="58" w:firstLine="0"/>
      </w:pPr>
      <w:r w:rsidRPr="00784857">
        <w:lastRenderedPageBreak/>
        <w:t>Ce travail portera sur la recherche des moyens d’élaboration à mettre en œuvre pour disposer d’une poudre de catalyseur dont la distribution en taille aura été ajustée avant d’être incluse dans le revêtement déposé à la surface de la structure interne des équipements. Le revêtement réalisé devra permettre la parfaite adhésion des particules de catalyseurs. Aussi, il conviendra de faire un état des lieux des diverses technologies de dépôt répertoriées dans la littérature scientifique et d’identifier celle(s) qui permettra(ont) d’atteindre l’objectif visé, en gardant à l’esprit qu’elle</w:t>
      </w:r>
      <w:r w:rsidR="00A80653">
        <w:t>(s)</w:t>
      </w:r>
      <w:r w:rsidRPr="00784857">
        <w:t xml:space="preserve"> devra</w:t>
      </w:r>
      <w:r w:rsidR="00A80653">
        <w:t>(ont)</w:t>
      </w:r>
      <w:r w:rsidRPr="00784857">
        <w:t xml:space="preserve"> être transposable</w:t>
      </w:r>
      <w:r w:rsidR="00A80653">
        <w:t>(s)</w:t>
      </w:r>
      <w:r w:rsidRPr="00784857">
        <w:t xml:space="preserve"> à l’échelle industrielle.</w:t>
      </w:r>
    </w:p>
    <w:p w14:paraId="45CE006A" w14:textId="77777777" w:rsidR="00784857" w:rsidRPr="00784857" w:rsidRDefault="00784857" w:rsidP="002644DA">
      <w:pPr>
        <w:ind w:left="142" w:right="58" w:firstLine="0"/>
      </w:pPr>
      <w:r w:rsidRPr="00784857">
        <w:t xml:space="preserve">Enfin, les solutions proposées devront présenter la meilleure résistance aux contraintes chimique et physique imposées par l’ambiance « d’hydrogène cryogénique » et de plus, assurer de façon optimale leur fonction catalytique. </w:t>
      </w:r>
    </w:p>
    <w:p w14:paraId="0AF2ADBD" w14:textId="77777777" w:rsidR="00B67E86" w:rsidRDefault="004A2AB6" w:rsidP="002644DA">
      <w:pPr>
        <w:spacing w:after="15" w:line="259" w:lineRule="auto"/>
        <w:ind w:left="142" w:right="58" w:firstLine="0"/>
        <w:jc w:val="left"/>
      </w:pPr>
      <w:r>
        <w:t xml:space="preserve"> </w:t>
      </w:r>
    </w:p>
    <w:p w14:paraId="1AFFED3A" w14:textId="77777777" w:rsidR="00B67E86" w:rsidRDefault="004A2AB6" w:rsidP="002644DA">
      <w:pPr>
        <w:pStyle w:val="Titre2"/>
        <w:ind w:left="142" w:right="58" w:firstLine="0"/>
      </w:pPr>
      <w:r>
        <w:t>Compétences</w:t>
      </w:r>
      <w:r>
        <w:rPr>
          <w:color w:val="000000"/>
        </w:rPr>
        <w:t xml:space="preserve"> </w:t>
      </w:r>
    </w:p>
    <w:p w14:paraId="673C7B12" w14:textId="77777777" w:rsidR="00B67E86" w:rsidRDefault="004A2AB6" w:rsidP="002644DA">
      <w:pPr>
        <w:ind w:left="142" w:right="58" w:firstLine="0"/>
      </w:pPr>
      <w:r>
        <w:t xml:space="preserve">Ce travail nécessite des compétences en </w:t>
      </w:r>
      <w:r w:rsidR="00F722B2">
        <w:t xml:space="preserve">génie des procédés, </w:t>
      </w:r>
      <w:r>
        <w:t>chimie du solide et en sciences des matériaux</w:t>
      </w:r>
      <w:r w:rsidR="00A80653">
        <w:t xml:space="preserve"> mise à profit pour le développement de « barbotines »</w:t>
      </w:r>
      <w:r>
        <w:t xml:space="preserve">. Un fort intérêt pour le travail expérimental est nécessaire. La curiosité, la rigueur, l’autonomie et le goût pour le travail méthodique en équipe sont des qualités qui seront fortement appréciées. La langue anglaise et/ou française doit être maîtrisée à l’écrit et à l’oral. </w:t>
      </w:r>
    </w:p>
    <w:p w14:paraId="164A59CD" w14:textId="77777777" w:rsidR="00B67E86" w:rsidRDefault="004A2AB6" w:rsidP="00926C4C">
      <w:pPr>
        <w:spacing w:after="15" w:line="259" w:lineRule="auto"/>
        <w:ind w:left="142" w:right="0" w:firstLine="0"/>
        <w:jc w:val="left"/>
      </w:pPr>
      <w:r>
        <w:t xml:space="preserve"> </w:t>
      </w:r>
    </w:p>
    <w:p w14:paraId="3D63D568" w14:textId="77777777" w:rsidR="00B67E86" w:rsidRDefault="004A2AB6" w:rsidP="00926C4C">
      <w:pPr>
        <w:pStyle w:val="Titre2"/>
        <w:ind w:left="142" w:firstLine="0"/>
      </w:pPr>
      <w:r>
        <w:t>A propos de l’institut Jean Lamour</w:t>
      </w:r>
      <w:r>
        <w:rPr>
          <w:color w:val="000000"/>
        </w:rPr>
        <w:t xml:space="preserve"> </w:t>
      </w:r>
    </w:p>
    <w:p w14:paraId="39FEB8A5" w14:textId="77777777" w:rsidR="00B67E86" w:rsidRDefault="004A2AB6" w:rsidP="00926C4C">
      <w:pPr>
        <w:ind w:left="142" w:right="58" w:firstLine="0"/>
      </w:pPr>
      <w:r>
        <w:t xml:space="preserve">L’Institut Jean Lamour (IJL) est une unité mixte de recherche du CNRS et de l’Université de Lorraine. Spécialisé en science et ingénierie des matériaux et des procédés, ses domaines de recherche couvrent les champs suivants : matériaux, métallurgie, plasmas, surfaces, nanomatériaux, électronique. </w:t>
      </w:r>
    </w:p>
    <w:p w14:paraId="7BFE5ED1" w14:textId="77777777" w:rsidR="00B67E86" w:rsidRDefault="004A2AB6" w:rsidP="00926C4C">
      <w:pPr>
        <w:ind w:left="142" w:right="58" w:firstLine="0"/>
      </w:pPr>
      <w:r>
        <w:t xml:space="preserve">L’IJL compte plus de 180 chercheurs et enseignants-chercheurs, 90 personnels ingénieurs, techniciens, administratifs, 150 doctorants et 25 post-doctorants. </w:t>
      </w:r>
    </w:p>
    <w:p w14:paraId="68885FB3" w14:textId="77777777" w:rsidR="00B67E86" w:rsidRDefault="004A2AB6" w:rsidP="00926C4C">
      <w:pPr>
        <w:ind w:left="142" w:right="58" w:firstLine="0"/>
      </w:pPr>
      <w:r>
        <w:t xml:space="preserve">Il collabore avec plus de 150 partenaires industriels et ses collaborations académiques se déploient dans une trentaine de pays. </w:t>
      </w:r>
    </w:p>
    <w:p w14:paraId="52CC45E5" w14:textId="77777777" w:rsidR="00B67E86" w:rsidRDefault="004A2AB6" w:rsidP="00926C4C">
      <w:pPr>
        <w:ind w:left="142" w:right="58" w:firstLine="0"/>
      </w:pPr>
      <w:r>
        <w:t xml:space="preserve">Son parc instrumental exceptionnel se trouve principalement sur le campus Artem à Nancy, lieu principal du déroulement de la thèse. </w:t>
      </w:r>
    </w:p>
    <w:p w14:paraId="01A2434D" w14:textId="77777777" w:rsidR="00B67E86" w:rsidRDefault="004A2AB6" w:rsidP="00926C4C">
      <w:pPr>
        <w:spacing w:after="15" w:line="259" w:lineRule="auto"/>
        <w:ind w:left="142" w:right="0" w:firstLine="0"/>
        <w:jc w:val="left"/>
      </w:pPr>
      <w:r>
        <w:t xml:space="preserve"> </w:t>
      </w:r>
    </w:p>
    <w:p w14:paraId="48FCA409" w14:textId="77777777" w:rsidR="00B67E86" w:rsidRDefault="004A2AB6" w:rsidP="00926C4C">
      <w:pPr>
        <w:pStyle w:val="Titre2"/>
        <w:ind w:left="142" w:firstLine="0"/>
      </w:pPr>
      <w:r>
        <w:t>Contraintes et risques</w:t>
      </w:r>
      <w:r>
        <w:rPr>
          <w:color w:val="000000"/>
        </w:rPr>
        <w:t xml:space="preserve"> </w:t>
      </w:r>
    </w:p>
    <w:p w14:paraId="1F2DB68E" w14:textId="77777777" w:rsidR="00B67E86" w:rsidRDefault="004A2AB6" w:rsidP="00926C4C">
      <w:pPr>
        <w:ind w:left="142" w:right="58" w:firstLine="0"/>
      </w:pPr>
      <w:r>
        <w:t xml:space="preserve">Le poste ouvert se situe dans un secteur relevant de la protection du potentiel scientifique et technique de la Nation et nécessite donc, conformément à la réglementation, que le recrutement soit autorisé par l’autorité compétente du ministère de l’enseignement supérieur, de la recherche et de l’innovation (MESRI). </w:t>
      </w:r>
    </w:p>
    <w:p w14:paraId="37C116E4" w14:textId="6FD6D838" w:rsidR="00C72A31" w:rsidRDefault="004A2AB6" w:rsidP="00926C4C">
      <w:pPr>
        <w:spacing w:after="15" w:line="259" w:lineRule="auto"/>
        <w:ind w:left="142" w:right="0" w:firstLine="0"/>
        <w:jc w:val="left"/>
      </w:pPr>
      <w:r>
        <w:t xml:space="preserve"> </w:t>
      </w:r>
    </w:p>
    <w:p w14:paraId="2031E16B" w14:textId="77777777" w:rsidR="00C72A31" w:rsidRDefault="00C72A31">
      <w:pPr>
        <w:spacing w:after="160" w:line="259" w:lineRule="auto"/>
        <w:ind w:left="0" w:right="0" w:firstLine="0"/>
        <w:jc w:val="left"/>
      </w:pPr>
      <w:r>
        <w:br w:type="page"/>
      </w:r>
    </w:p>
    <w:p w14:paraId="468ED038" w14:textId="77777777" w:rsidR="00B67E86" w:rsidRDefault="00B67E86" w:rsidP="00926C4C">
      <w:pPr>
        <w:spacing w:after="15" w:line="259" w:lineRule="auto"/>
        <w:ind w:left="142" w:right="0" w:firstLine="0"/>
        <w:jc w:val="left"/>
      </w:pPr>
    </w:p>
    <w:p w14:paraId="0597F03D" w14:textId="77777777" w:rsidR="00B67E86" w:rsidRDefault="004A2AB6" w:rsidP="00926C4C">
      <w:pPr>
        <w:pStyle w:val="Titre2"/>
        <w:ind w:left="142" w:firstLine="0"/>
      </w:pPr>
      <w:r>
        <w:t>Modalités de candidature</w:t>
      </w:r>
      <w:r>
        <w:rPr>
          <w:color w:val="000000"/>
        </w:rPr>
        <w:t xml:space="preserve"> </w:t>
      </w:r>
    </w:p>
    <w:p w14:paraId="30E80B9C" w14:textId="77777777" w:rsidR="00B67E86" w:rsidRDefault="004A2AB6" w:rsidP="00926C4C">
      <w:pPr>
        <w:ind w:left="142" w:right="58" w:firstLine="0"/>
      </w:pPr>
      <w:r>
        <w:t xml:space="preserve">Le dossier de candidature comprendra les éléments suivants : </w:t>
      </w:r>
    </w:p>
    <w:p w14:paraId="51122308" w14:textId="77777777" w:rsidR="00B67E86" w:rsidRDefault="004A2AB6" w:rsidP="00926C4C">
      <w:pPr>
        <w:numPr>
          <w:ilvl w:val="0"/>
          <w:numId w:val="2"/>
        </w:numPr>
        <w:ind w:left="142" w:right="58" w:firstLine="0"/>
      </w:pPr>
      <w:r>
        <w:t xml:space="preserve">Curriculum Vitae. </w:t>
      </w:r>
    </w:p>
    <w:p w14:paraId="3FD6CF0F" w14:textId="77777777" w:rsidR="00B67E86" w:rsidRPr="00C72A31" w:rsidRDefault="004A2AB6" w:rsidP="00926C4C">
      <w:pPr>
        <w:numPr>
          <w:ilvl w:val="0"/>
          <w:numId w:val="2"/>
        </w:numPr>
        <w:ind w:left="142" w:right="58" w:firstLine="0"/>
      </w:pPr>
      <w:r>
        <w:t>Lettre de mot</w:t>
      </w:r>
      <w:r w:rsidRPr="00C72A31">
        <w:t xml:space="preserve">ivation. </w:t>
      </w:r>
    </w:p>
    <w:p w14:paraId="2ED25488" w14:textId="77777777" w:rsidR="00B67E86" w:rsidRPr="00C72A31" w:rsidRDefault="004A2AB6" w:rsidP="00926C4C">
      <w:pPr>
        <w:numPr>
          <w:ilvl w:val="0"/>
          <w:numId w:val="2"/>
        </w:numPr>
        <w:ind w:left="142" w:right="58" w:firstLine="0"/>
      </w:pPr>
      <w:r w:rsidRPr="00C72A31">
        <w:t xml:space="preserve">Copie ou attestation du diplôme de </w:t>
      </w:r>
      <w:r w:rsidR="0021496A" w:rsidRPr="00C72A31">
        <w:t>Doctorat</w:t>
      </w:r>
      <w:r w:rsidRPr="00C72A31">
        <w:t xml:space="preserve">. </w:t>
      </w:r>
    </w:p>
    <w:p w14:paraId="5601B654" w14:textId="77777777" w:rsidR="00B67E86" w:rsidRPr="00C72A31" w:rsidRDefault="004A2AB6" w:rsidP="00926C4C">
      <w:pPr>
        <w:numPr>
          <w:ilvl w:val="0"/>
          <w:numId w:val="2"/>
        </w:numPr>
        <w:ind w:left="142" w:right="58" w:firstLine="0"/>
      </w:pPr>
      <w:r w:rsidRPr="00C72A31">
        <w:t xml:space="preserve">Lettre(s) de recommandation. </w:t>
      </w:r>
    </w:p>
    <w:p w14:paraId="1ABC94F3" w14:textId="77777777" w:rsidR="00B67E86" w:rsidRPr="00C72A31" w:rsidRDefault="004A2AB6" w:rsidP="00926C4C">
      <w:pPr>
        <w:numPr>
          <w:ilvl w:val="0"/>
          <w:numId w:val="2"/>
        </w:numPr>
        <w:ind w:left="142" w:right="58" w:firstLine="0"/>
      </w:pPr>
      <w:r w:rsidRPr="00C72A31">
        <w:t xml:space="preserve">Copie de la carte d’identité ou passeport. </w:t>
      </w:r>
    </w:p>
    <w:p w14:paraId="4FAAFF59" w14:textId="77777777" w:rsidR="00B67E86" w:rsidRDefault="004A2AB6" w:rsidP="00926C4C">
      <w:pPr>
        <w:spacing w:after="0" w:line="259" w:lineRule="auto"/>
        <w:ind w:left="142" w:right="0" w:firstLine="0"/>
        <w:jc w:val="left"/>
      </w:pPr>
      <w:r>
        <w:t xml:space="preserve"> </w:t>
      </w:r>
    </w:p>
    <w:p w14:paraId="6E12E7B3" w14:textId="77777777" w:rsidR="00B67E86" w:rsidRDefault="00B67E86" w:rsidP="00926C4C">
      <w:pPr>
        <w:spacing w:after="0" w:line="259" w:lineRule="auto"/>
        <w:ind w:left="142" w:right="0" w:firstLine="0"/>
        <w:jc w:val="left"/>
      </w:pPr>
    </w:p>
    <w:p w14:paraId="664FAD38" w14:textId="77777777" w:rsidR="00B67E86" w:rsidRDefault="004A2AB6" w:rsidP="00926C4C">
      <w:pPr>
        <w:ind w:left="142" w:right="58" w:firstLine="0"/>
      </w:pPr>
      <w:r>
        <w:t xml:space="preserve">Les candidatures doivent être adressées par e-mail à : </w:t>
      </w:r>
    </w:p>
    <w:p w14:paraId="7B476066" w14:textId="77777777" w:rsidR="00016730" w:rsidRDefault="004A2AB6" w:rsidP="00926C4C">
      <w:pPr>
        <w:ind w:left="142" w:right="2245" w:firstLine="0"/>
      </w:pPr>
      <w:r>
        <w:t xml:space="preserve">M. </w:t>
      </w:r>
      <w:r w:rsidR="0021496A">
        <w:t>Michel Vilasi,</w:t>
      </w:r>
      <w:r>
        <w:t xml:space="preserve"> </w:t>
      </w:r>
      <w:r w:rsidR="0021496A">
        <w:t xml:space="preserve">Professeur </w:t>
      </w:r>
      <w:r>
        <w:t>(</w:t>
      </w:r>
      <w:hyperlink r:id="rId9" w:history="1">
        <w:r w:rsidR="0021496A" w:rsidRPr="00003981">
          <w:rPr>
            <w:rStyle w:val="Lienhypertexte"/>
          </w:rPr>
          <w:t>michel.vilasi@univ-lorraine.fr</w:t>
        </w:r>
      </w:hyperlink>
      <w:r>
        <w:t>)</w:t>
      </w:r>
      <w:r w:rsidR="0021496A">
        <w:t xml:space="preserve">, </w:t>
      </w:r>
    </w:p>
    <w:p w14:paraId="19B52C77" w14:textId="1CAEDC55" w:rsidR="0021496A" w:rsidRDefault="0021496A" w:rsidP="00926C4C">
      <w:pPr>
        <w:ind w:left="142" w:right="2245" w:firstLine="0"/>
      </w:pPr>
      <w:r>
        <w:t xml:space="preserve">M. </w:t>
      </w:r>
      <w:r w:rsidR="00F722B2">
        <w:t xml:space="preserve">Léo Portebois, Docteur </w:t>
      </w:r>
      <w:r>
        <w:t>(</w:t>
      </w:r>
      <w:hyperlink r:id="rId10" w:history="1">
        <w:r w:rsidR="00B90FC3">
          <w:rPr>
            <w:rStyle w:val="Lienhypertexte"/>
          </w:rPr>
          <w:t>leo.portebois</w:t>
        </w:r>
        <w:r w:rsidR="00B90FC3" w:rsidRPr="00003981">
          <w:rPr>
            <w:rStyle w:val="Lienhypertexte"/>
          </w:rPr>
          <w:t>@univ-lorraine.fr</w:t>
        </w:r>
      </w:hyperlink>
      <w:r>
        <w:t>)</w:t>
      </w:r>
    </w:p>
    <w:p w14:paraId="56779304" w14:textId="77777777" w:rsidR="00B67E86" w:rsidRDefault="004A2AB6" w:rsidP="00926C4C">
      <w:pPr>
        <w:ind w:left="142" w:right="2245" w:firstLine="0"/>
      </w:pPr>
      <w:r>
        <w:t xml:space="preserve"> </w:t>
      </w:r>
    </w:p>
    <w:p w14:paraId="444FECB9" w14:textId="77777777" w:rsidR="00B67E86" w:rsidRDefault="004A2AB6" w:rsidP="00926C4C">
      <w:pPr>
        <w:spacing w:after="154" w:line="259" w:lineRule="auto"/>
        <w:ind w:left="142" w:right="0" w:firstLine="0"/>
        <w:jc w:val="left"/>
      </w:pPr>
      <w:r>
        <w:t xml:space="preserve"> </w:t>
      </w:r>
    </w:p>
    <w:p w14:paraId="4939611B" w14:textId="77777777" w:rsidR="00B67E86" w:rsidRDefault="004A2AB6" w:rsidP="00926C4C">
      <w:pPr>
        <w:spacing w:after="0" w:line="259" w:lineRule="auto"/>
        <w:ind w:left="142" w:right="0" w:firstLine="0"/>
        <w:jc w:val="left"/>
      </w:pPr>
      <w:r>
        <w:rPr>
          <w:color w:val="404040"/>
          <w:sz w:val="40"/>
        </w:rPr>
        <w:t xml:space="preserve"> </w:t>
      </w:r>
      <w:r>
        <w:rPr>
          <w:color w:val="404040"/>
          <w:sz w:val="40"/>
        </w:rPr>
        <w:tab/>
        <w:t xml:space="preserve"> </w:t>
      </w:r>
    </w:p>
    <w:sectPr w:rsidR="00B67E86">
      <w:headerReference w:type="even" r:id="rId11"/>
      <w:headerReference w:type="default" r:id="rId12"/>
      <w:footerReference w:type="even" r:id="rId13"/>
      <w:footerReference w:type="default" r:id="rId14"/>
      <w:headerReference w:type="first" r:id="rId15"/>
      <w:footerReference w:type="first" r:id="rId16"/>
      <w:pgSz w:w="11906" w:h="16838"/>
      <w:pgMar w:top="2585" w:right="793" w:bottom="1894" w:left="852" w:header="678" w:footer="28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7F040" w16cid:durableId="25D2E4B7"/>
  <w16cid:commentId w16cid:paraId="12788C1D" w16cid:durableId="25D2E2D1"/>
  <w16cid:commentId w16cid:paraId="35A3E53D" w16cid:durableId="25D2E3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89299" w14:textId="77777777" w:rsidR="00B97B44" w:rsidRDefault="00B97B44">
      <w:pPr>
        <w:spacing w:after="0" w:line="240" w:lineRule="auto"/>
      </w:pPr>
      <w:r>
        <w:separator/>
      </w:r>
    </w:p>
  </w:endnote>
  <w:endnote w:type="continuationSeparator" w:id="0">
    <w:p w14:paraId="75C78D67" w14:textId="77777777" w:rsidR="00B97B44" w:rsidRDefault="00B9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DF13" w14:textId="77777777" w:rsidR="002644DA" w:rsidRDefault="002644DA">
    <w:pPr>
      <w:spacing w:after="0" w:line="259" w:lineRule="auto"/>
      <w:ind w:left="0" w:right="0" w:firstLine="0"/>
      <w:jc w:val="left"/>
    </w:pPr>
    <w:r>
      <w:rPr>
        <w:noProof/>
      </w:rPr>
      <w:drawing>
        <wp:anchor distT="0" distB="0" distL="114300" distR="114300" simplePos="0" relativeHeight="251661312" behindDoc="0" locked="0" layoutInCell="1" allowOverlap="0" wp14:anchorId="2080BEB3" wp14:editId="0620AB27">
          <wp:simplePos x="0" y="0"/>
          <wp:positionH relativeFrom="page">
            <wp:posOffset>314325</wp:posOffset>
          </wp:positionH>
          <wp:positionV relativeFrom="page">
            <wp:posOffset>9579254</wp:posOffset>
          </wp:positionV>
          <wp:extent cx="6997065" cy="7620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997065" cy="762000"/>
                  </a:xfrm>
                  <a:prstGeom prst="rect">
                    <a:avLst/>
                  </a:prstGeom>
                </pic:spPr>
              </pic:pic>
            </a:graphicData>
          </a:graphic>
        </wp:anchor>
      </w:drawing>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182B" w14:textId="77777777" w:rsidR="002644DA" w:rsidRDefault="002644DA">
    <w:pPr>
      <w:spacing w:after="0" w:line="259" w:lineRule="auto"/>
      <w:ind w:left="0" w:right="0" w:firstLine="0"/>
      <w:jc w:val="left"/>
    </w:pPr>
    <w:r>
      <w:rPr>
        <w:noProof/>
      </w:rPr>
      <w:drawing>
        <wp:anchor distT="0" distB="0" distL="114300" distR="114300" simplePos="0" relativeHeight="251662336" behindDoc="0" locked="0" layoutInCell="1" allowOverlap="0" wp14:anchorId="2E52ADA4" wp14:editId="34DC4871">
          <wp:simplePos x="0" y="0"/>
          <wp:positionH relativeFrom="page">
            <wp:posOffset>314325</wp:posOffset>
          </wp:positionH>
          <wp:positionV relativeFrom="page">
            <wp:posOffset>9579254</wp:posOffset>
          </wp:positionV>
          <wp:extent cx="6997065" cy="762000"/>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997065" cy="762000"/>
                  </a:xfrm>
                  <a:prstGeom prst="rect">
                    <a:avLst/>
                  </a:prstGeom>
                </pic:spPr>
              </pic:pic>
            </a:graphicData>
          </a:graphic>
        </wp:anchor>
      </w:drawing>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34C8" w14:textId="77777777" w:rsidR="002644DA" w:rsidRDefault="002644DA">
    <w:pPr>
      <w:spacing w:after="0" w:line="259" w:lineRule="auto"/>
      <w:ind w:left="0" w:right="0" w:firstLine="0"/>
      <w:jc w:val="left"/>
    </w:pPr>
    <w:r>
      <w:rPr>
        <w:noProof/>
      </w:rPr>
      <w:drawing>
        <wp:anchor distT="0" distB="0" distL="114300" distR="114300" simplePos="0" relativeHeight="251663360" behindDoc="0" locked="0" layoutInCell="1" allowOverlap="0" wp14:anchorId="5CBBA92A" wp14:editId="2655A705">
          <wp:simplePos x="0" y="0"/>
          <wp:positionH relativeFrom="page">
            <wp:posOffset>314325</wp:posOffset>
          </wp:positionH>
          <wp:positionV relativeFrom="page">
            <wp:posOffset>9579254</wp:posOffset>
          </wp:positionV>
          <wp:extent cx="6997065" cy="762000"/>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997065" cy="762000"/>
                  </a:xfrm>
                  <a:prstGeom prst="rect">
                    <a:avLst/>
                  </a:prstGeom>
                </pic:spPr>
              </pic:pic>
            </a:graphicData>
          </a:graphic>
        </wp:anchor>
      </w:drawing>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A89D" w14:textId="77777777" w:rsidR="00B97B44" w:rsidRDefault="00B97B44">
      <w:pPr>
        <w:spacing w:after="0" w:line="240" w:lineRule="auto"/>
      </w:pPr>
      <w:r>
        <w:separator/>
      </w:r>
    </w:p>
  </w:footnote>
  <w:footnote w:type="continuationSeparator" w:id="0">
    <w:p w14:paraId="77F3A452" w14:textId="77777777" w:rsidR="00B97B44" w:rsidRDefault="00B97B44">
      <w:pPr>
        <w:spacing w:after="0" w:line="240" w:lineRule="auto"/>
      </w:pPr>
      <w:r>
        <w:continuationSeparator/>
      </w:r>
    </w:p>
  </w:footnote>
  <w:footnote w:id="1">
    <w:p w14:paraId="3EF540D6" w14:textId="77777777" w:rsidR="002644DA" w:rsidRPr="00FC3E92" w:rsidRDefault="002644DA" w:rsidP="0011101A">
      <w:pPr>
        <w:pStyle w:val="Notedebasdepage"/>
        <w:rPr>
          <w:sz w:val="18"/>
          <w:szCs w:val="18"/>
        </w:rPr>
      </w:pPr>
      <w:r>
        <w:rPr>
          <w:rStyle w:val="Appelnotedebasdep"/>
        </w:rPr>
        <w:footnoteRef/>
      </w:r>
      <w:r>
        <w:t xml:space="preserve"> Dans </w:t>
      </w:r>
      <w:r w:rsidRPr="00FC3E92">
        <w:rPr>
          <w:sz w:val="18"/>
          <w:szCs w:val="18"/>
        </w:rPr>
        <w:t>l’ortho-hydrogène</w:t>
      </w:r>
      <w:r>
        <w:rPr>
          <w:sz w:val="18"/>
          <w:szCs w:val="18"/>
        </w:rPr>
        <w:t xml:space="preserve">, </w:t>
      </w:r>
      <w:r w:rsidRPr="00FC3E92">
        <w:rPr>
          <w:sz w:val="18"/>
          <w:szCs w:val="18"/>
        </w:rPr>
        <w:t>les spins des deux protons son</w:t>
      </w:r>
      <w:r>
        <w:rPr>
          <w:sz w:val="18"/>
          <w:szCs w:val="18"/>
        </w:rPr>
        <w:t xml:space="preserve">t parallèles et de même sens tandis que dans </w:t>
      </w:r>
      <w:r w:rsidRPr="00FC3E92">
        <w:rPr>
          <w:sz w:val="18"/>
          <w:szCs w:val="18"/>
        </w:rPr>
        <w:t>le para-hydrogène les deux proto</w:t>
      </w:r>
      <w:r>
        <w:rPr>
          <w:sz w:val="18"/>
          <w:szCs w:val="18"/>
        </w:rPr>
        <w:t>ns ont des spins antiparallèles</w:t>
      </w:r>
    </w:p>
  </w:footnote>
  <w:footnote w:id="2">
    <w:p w14:paraId="61C5194C" w14:textId="77777777" w:rsidR="002644DA" w:rsidRPr="00B90FC3" w:rsidRDefault="002644DA" w:rsidP="0011101A">
      <w:pPr>
        <w:pStyle w:val="Notedebasdepage"/>
        <w:rPr>
          <w:lang w:val="en-US"/>
        </w:rPr>
      </w:pPr>
      <w:r>
        <w:rPr>
          <w:rStyle w:val="Appelnotedebasdep"/>
        </w:rPr>
        <w:footnoteRef/>
      </w:r>
      <w:r w:rsidRPr="00B90FC3">
        <w:rPr>
          <w:lang w:val="en-US"/>
        </w:rPr>
        <w:t xml:space="preserve"> </w:t>
      </w:r>
      <w:r w:rsidRPr="00B90FC3">
        <w:rPr>
          <w:sz w:val="18"/>
          <w:szCs w:val="18"/>
          <w:lang w:val="en-US"/>
        </w:rPr>
        <w:t xml:space="preserve">Stuart, S. (2013). </w:t>
      </w:r>
      <w:r w:rsidRPr="00B90FC3">
        <w:rPr>
          <w:i/>
          <w:iCs/>
          <w:sz w:val="18"/>
          <w:szCs w:val="18"/>
          <w:lang w:val="en-US"/>
        </w:rPr>
        <w:t xml:space="preserve">Liquid Hydrogen: Properties, Production and Applications </w:t>
      </w:r>
      <w:r w:rsidRPr="00B90FC3">
        <w:rPr>
          <w:sz w:val="18"/>
          <w:szCs w:val="18"/>
          <w:lang w:val="en-US"/>
        </w:rPr>
        <w:t xml:space="preserve">(Vol. 5). Elsevier. </w:t>
      </w:r>
      <w:r w:rsidRPr="00B90FC3">
        <w:rPr>
          <w:lang w:val="en-US"/>
        </w:rPr>
        <w:t xml:space="preserve"> </w:t>
      </w:r>
    </w:p>
  </w:footnote>
  <w:footnote w:id="3">
    <w:p w14:paraId="6168645B" w14:textId="77777777" w:rsidR="002644DA" w:rsidRDefault="002644DA" w:rsidP="0011101A">
      <w:pPr>
        <w:pStyle w:val="Notedebasdepage"/>
      </w:pPr>
      <w:r>
        <w:rPr>
          <w:rStyle w:val="Appelnotedebasdep"/>
        </w:rPr>
        <w:footnoteRef/>
      </w:r>
      <w:r w:rsidRPr="00B90FC3">
        <w:rPr>
          <w:lang w:val="en-US"/>
        </w:rPr>
        <w:t xml:space="preserve"> </w:t>
      </w:r>
      <w:r w:rsidRPr="00B90FC3">
        <w:rPr>
          <w:sz w:val="18"/>
          <w:szCs w:val="18"/>
          <w:lang w:val="en-US"/>
        </w:rPr>
        <w:t xml:space="preserve">Li, X., Hu, S., Jin, L., &amp; Hu, H. (2008). Role of iron-based catalyst and hydrogen transfer in direct coal liquefaction. </w:t>
      </w:r>
      <w:r>
        <w:rPr>
          <w:i/>
          <w:iCs/>
          <w:sz w:val="18"/>
          <w:szCs w:val="18"/>
        </w:rPr>
        <w:t>Energy &amp; fuels</w:t>
      </w:r>
      <w:r>
        <w:rPr>
          <w:sz w:val="18"/>
          <w:szCs w:val="18"/>
        </w:rPr>
        <w:t xml:space="preserve">, </w:t>
      </w:r>
      <w:r>
        <w:rPr>
          <w:i/>
          <w:iCs/>
          <w:sz w:val="18"/>
          <w:szCs w:val="18"/>
        </w:rPr>
        <w:t>22</w:t>
      </w:r>
      <w:r>
        <w:rPr>
          <w:sz w:val="18"/>
          <w:szCs w:val="18"/>
        </w:rPr>
        <w:t xml:space="preserve">(2), 1126-1129.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2FA8" w14:textId="77777777" w:rsidR="002644DA" w:rsidRDefault="002644DA">
    <w:pPr>
      <w:spacing w:after="0" w:line="259" w:lineRule="auto"/>
      <w:ind w:left="0" w:right="0" w:firstLine="0"/>
      <w:jc w:val="left"/>
    </w:pPr>
    <w:r>
      <w:rPr>
        <w:noProof/>
      </w:rPr>
      <w:drawing>
        <wp:anchor distT="0" distB="0" distL="114300" distR="114300" simplePos="0" relativeHeight="251658240" behindDoc="0" locked="0" layoutInCell="1" allowOverlap="0" wp14:anchorId="291AF801" wp14:editId="0AA90A32">
          <wp:simplePos x="0" y="0"/>
          <wp:positionH relativeFrom="page">
            <wp:posOffset>283210</wp:posOffset>
          </wp:positionH>
          <wp:positionV relativeFrom="page">
            <wp:posOffset>430530</wp:posOffset>
          </wp:positionV>
          <wp:extent cx="7019925" cy="100139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19925" cy="100139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F56F" w14:textId="77777777" w:rsidR="002644DA" w:rsidRDefault="002644DA">
    <w:pPr>
      <w:spacing w:after="0" w:line="259" w:lineRule="auto"/>
      <w:ind w:left="0" w:right="0" w:firstLine="0"/>
      <w:jc w:val="left"/>
    </w:pPr>
    <w:r>
      <w:rPr>
        <w:noProof/>
      </w:rPr>
      <w:drawing>
        <wp:anchor distT="0" distB="0" distL="114300" distR="114300" simplePos="0" relativeHeight="251659264" behindDoc="0" locked="0" layoutInCell="1" allowOverlap="0" wp14:anchorId="11F8CCC0" wp14:editId="10D39827">
          <wp:simplePos x="0" y="0"/>
          <wp:positionH relativeFrom="page">
            <wp:posOffset>283210</wp:posOffset>
          </wp:positionH>
          <wp:positionV relativeFrom="page">
            <wp:posOffset>430530</wp:posOffset>
          </wp:positionV>
          <wp:extent cx="7019925" cy="1001395"/>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19925" cy="1001395"/>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86EE" w14:textId="77777777" w:rsidR="002644DA" w:rsidRDefault="002644DA">
    <w:pPr>
      <w:spacing w:after="0" w:line="259" w:lineRule="auto"/>
      <w:ind w:left="0" w:right="0" w:firstLine="0"/>
      <w:jc w:val="left"/>
    </w:pPr>
    <w:r>
      <w:rPr>
        <w:noProof/>
      </w:rPr>
      <w:drawing>
        <wp:anchor distT="0" distB="0" distL="114300" distR="114300" simplePos="0" relativeHeight="251660288" behindDoc="0" locked="0" layoutInCell="1" allowOverlap="0" wp14:anchorId="01D3E50E" wp14:editId="390700EF">
          <wp:simplePos x="0" y="0"/>
          <wp:positionH relativeFrom="page">
            <wp:posOffset>283210</wp:posOffset>
          </wp:positionH>
          <wp:positionV relativeFrom="page">
            <wp:posOffset>430530</wp:posOffset>
          </wp:positionV>
          <wp:extent cx="7019925" cy="1001395"/>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19925" cy="1001395"/>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A0AB5"/>
    <w:multiLevelType w:val="hybridMultilevel"/>
    <w:tmpl w:val="E6028200"/>
    <w:lvl w:ilvl="0" w:tplc="C54C71F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1226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BE9E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5EBD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233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425A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4AA7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74A8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18A3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BF65C0"/>
    <w:multiLevelType w:val="hybridMultilevel"/>
    <w:tmpl w:val="85688AB6"/>
    <w:lvl w:ilvl="0" w:tplc="E3C8FC80">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E4E40">
      <w:start w:val="1"/>
      <w:numFmt w:val="bullet"/>
      <w:lvlText w:val="o"/>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5E7C20">
      <w:start w:val="1"/>
      <w:numFmt w:val="bullet"/>
      <w:lvlText w:val="▪"/>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FC493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86A64">
      <w:start w:val="1"/>
      <w:numFmt w:val="bullet"/>
      <w:lvlText w:val="o"/>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B60838">
      <w:start w:val="1"/>
      <w:numFmt w:val="bullet"/>
      <w:lvlText w:val="▪"/>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DCE21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CD056">
      <w:start w:val="1"/>
      <w:numFmt w:val="bullet"/>
      <w:lvlText w:val="o"/>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847E06">
      <w:start w:val="1"/>
      <w:numFmt w:val="bullet"/>
      <w:lvlText w:val="▪"/>
      <w:lvlJc w:val="left"/>
      <w:pPr>
        <w:ind w:left="6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86"/>
    <w:rsid w:val="00016730"/>
    <w:rsid w:val="00053868"/>
    <w:rsid w:val="00084CE3"/>
    <w:rsid w:val="000B7514"/>
    <w:rsid w:val="0011101A"/>
    <w:rsid w:val="00112981"/>
    <w:rsid w:val="0011391E"/>
    <w:rsid w:val="00134399"/>
    <w:rsid w:val="001848DF"/>
    <w:rsid w:val="001C41C4"/>
    <w:rsid w:val="0021496A"/>
    <w:rsid w:val="002553AF"/>
    <w:rsid w:val="002644DA"/>
    <w:rsid w:val="00295985"/>
    <w:rsid w:val="002C6ADE"/>
    <w:rsid w:val="00382E56"/>
    <w:rsid w:val="003D3AA7"/>
    <w:rsid w:val="004046BE"/>
    <w:rsid w:val="00470046"/>
    <w:rsid w:val="004A2AB6"/>
    <w:rsid w:val="004E253F"/>
    <w:rsid w:val="004F02E6"/>
    <w:rsid w:val="00755506"/>
    <w:rsid w:val="00773833"/>
    <w:rsid w:val="00784857"/>
    <w:rsid w:val="007C0C9C"/>
    <w:rsid w:val="0081118D"/>
    <w:rsid w:val="00812482"/>
    <w:rsid w:val="00814535"/>
    <w:rsid w:val="00877161"/>
    <w:rsid w:val="00926C4C"/>
    <w:rsid w:val="0099202B"/>
    <w:rsid w:val="009A38E3"/>
    <w:rsid w:val="009B6A87"/>
    <w:rsid w:val="00A1376E"/>
    <w:rsid w:val="00A272AF"/>
    <w:rsid w:val="00A80653"/>
    <w:rsid w:val="00AC15B8"/>
    <w:rsid w:val="00B10810"/>
    <w:rsid w:val="00B2232C"/>
    <w:rsid w:val="00B67E86"/>
    <w:rsid w:val="00B90FC3"/>
    <w:rsid w:val="00B97B44"/>
    <w:rsid w:val="00BC513E"/>
    <w:rsid w:val="00BD297C"/>
    <w:rsid w:val="00BF195C"/>
    <w:rsid w:val="00C55414"/>
    <w:rsid w:val="00C72A31"/>
    <w:rsid w:val="00CD64CA"/>
    <w:rsid w:val="00D2467B"/>
    <w:rsid w:val="00E25737"/>
    <w:rsid w:val="00E3334A"/>
    <w:rsid w:val="00ED2567"/>
    <w:rsid w:val="00ED28BD"/>
    <w:rsid w:val="00F029C8"/>
    <w:rsid w:val="00F45FCD"/>
    <w:rsid w:val="00F722B2"/>
    <w:rsid w:val="00FF5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904F"/>
  <w15:docId w15:val="{A6578B41-65D3-4079-BB9B-A7AE9201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54"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line="240" w:lineRule="auto"/>
      <w:jc w:val="center"/>
      <w:outlineLvl w:val="0"/>
    </w:pPr>
    <w:rPr>
      <w:rFonts w:ascii="Calibri" w:eastAsia="Calibri" w:hAnsi="Calibri" w:cs="Calibri"/>
      <w:color w:val="008F6C"/>
      <w:sz w:val="36"/>
    </w:rPr>
  </w:style>
  <w:style w:type="paragraph" w:styleId="Titre2">
    <w:name w:val="heading 2"/>
    <w:next w:val="Normal"/>
    <w:link w:val="Titre2Car"/>
    <w:uiPriority w:val="9"/>
    <w:unhideWhenUsed/>
    <w:qFormat/>
    <w:pPr>
      <w:keepNext/>
      <w:keepLines/>
      <w:spacing w:after="53"/>
      <w:ind w:left="10" w:hanging="10"/>
      <w:outlineLvl w:val="1"/>
    </w:pPr>
    <w:rPr>
      <w:rFonts w:ascii="Calibri" w:eastAsia="Calibri" w:hAnsi="Calibri" w:cs="Calibri"/>
      <w:color w:val="EA5B0C"/>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EA5B0C"/>
      <w:sz w:val="28"/>
    </w:rPr>
  </w:style>
  <w:style w:type="character" w:customStyle="1" w:styleId="Titre1Car">
    <w:name w:val="Titre 1 Car"/>
    <w:link w:val="Titre1"/>
    <w:rPr>
      <w:rFonts w:ascii="Calibri" w:eastAsia="Calibri" w:hAnsi="Calibri" w:cs="Calibri"/>
      <w:color w:val="008F6C"/>
      <w:sz w:val="36"/>
    </w:rPr>
  </w:style>
  <w:style w:type="character" w:styleId="Lienhypertexte">
    <w:name w:val="Hyperlink"/>
    <w:basedOn w:val="Policepardfaut"/>
    <w:uiPriority w:val="99"/>
    <w:unhideWhenUsed/>
    <w:rsid w:val="0021496A"/>
    <w:rPr>
      <w:color w:val="0563C1" w:themeColor="hyperlink"/>
      <w:u w:val="single"/>
    </w:rPr>
  </w:style>
  <w:style w:type="paragraph" w:styleId="Notedebasdepage">
    <w:name w:val="footnote text"/>
    <w:basedOn w:val="Normal"/>
    <w:link w:val="NotedebasdepageCar"/>
    <w:semiHidden/>
    <w:unhideWhenUsed/>
    <w:rsid w:val="0011101A"/>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NotedebasdepageCar">
    <w:name w:val="Note de bas de page Car"/>
    <w:basedOn w:val="Policepardfaut"/>
    <w:link w:val="Notedebasdepage"/>
    <w:semiHidden/>
    <w:rsid w:val="0011101A"/>
    <w:rPr>
      <w:rFonts w:ascii="Times New Roman" w:eastAsia="Times New Roman" w:hAnsi="Times New Roman" w:cs="Times New Roman"/>
      <w:sz w:val="20"/>
      <w:szCs w:val="20"/>
    </w:rPr>
  </w:style>
  <w:style w:type="character" w:styleId="Appelnotedebasdep">
    <w:name w:val="footnote reference"/>
    <w:basedOn w:val="Policepardfaut"/>
    <w:semiHidden/>
    <w:unhideWhenUsed/>
    <w:rsid w:val="0011101A"/>
    <w:rPr>
      <w:vertAlign w:val="superscript"/>
    </w:rPr>
  </w:style>
  <w:style w:type="character" w:styleId="Marquedecommentaire">
    <w:name w:val="annotation reference"/>
    <w:basedOn w:val="Policepardfaut"/>
    <w:uiPriority w:val="99"/>
    <w:semiHidden/>
    <w:unhideWhenUsed/>
    <w:rsid w:val="00B90FC3"/>
    <w:rPr>
      <w:sz w:val="16"/>
      <w:szCs w:val="16"/>
    </w:rPr>
  </w:style>
  <w:style w:type="paragraph" w:styleId="Commentaire">
    <w:name w:val="annotation text"/>
    <w:basedOn w:val="Normal"/>
    <w:link w:val="CommentaireCar"/>
    <w:uiPriority w:val="99"/>
    <w:semiHidden/>
    <w:unhideWhenUsed/>
    <w:rsid w:val="00B90FC3"/>
    <w:pPr>
      <w:spacing w:line="240" w:lineRule="auto"/>
    </w:pPr>
    <w:rPr>
      <w:sz w:val="20"/>
      <w:szCs w:val="20"/>
    </w:rPr>
  </w:style>
  <w:style w:type="character" w:customStyle="1" w:styleId="CommentaireCar">
    <w:name w:val="Commentaire Car"/>
    <w:basedOn w:val="Policepardfaut"/>
    <w:link w:val="Commentaire"/>
    <w:uiPriority w:val="99"/>
    <w:semiHidden/>
    <w:rsid w:val="00B90FC3"/>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90FC3"/>
    <w:rPr>
      <w:b/>
      <w:bCs/>
    </w:rPr>
  </w:style>
  <w:style w:type="character" w:customStyle="1" w:styleId="ObjetducommentaireCar">
    <w:name w:val="Objet du commentaire Car"/>
    <w:basedOn w:val="CommentaireCar"/>
    <w:link w:val="Objetducommentaire"/>
    <w:uiPriority w:val="99"/>
    <w:semiHidden/>
    <w:rsid w:val="00B90FC3"/>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90F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FC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48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phane.mathieu@univ-lorraine.fr"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ichel.vilasi@univ-lorraine.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732B-7526-4773-9687-7400EBD2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6197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Institut Jean Lamour</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barjon2</dc:creator>
  <cp:keywords/>
  <cp:lastModifiedBy>hilda</cp:lastModifiedBy>
  <cp:revision>2</cp:revision>
  <dcterms:created xsi:type="dcterms:W3CDTF">2022-03-16T08:33:00Z</dcterms:created>
  <dcterms:modified xsi:type="dcterms:W3CDTF">2022-03-16T08:33:00Z</dcterms:modified>
</cp:coreProperties>
</file>